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5518B4" w:rsidRDefault="000468CF" w:rsidP="005518B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2F7DC3">
              <w:rPr>
                <w:rFonts w:eastAsia="Arial"/>
                <w:iCs/>
                <w:sz w:val="27"/>
                <w:szCs w:val="27"/>
              </w:rPr>
              <w:t>12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5457ED">
              <w:rPr>
                <w:rFonts w:eastAsia="Arial"/>
                <w:iCs/>
                <w:sz w:val="27"/>
                <w:szCs w:val="27"/>
              </w:rPr>
              <w:t>10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2F7DC3">
              <w:rPr>
                <w:rFonts w:eastAsia="Arial"/>
                <w:iCs/>
                <w:sz w:val="27"/>
                <w:szCs w:val="27"/>
              </w:rPr>
              <w:t>2858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5518B4" w:rsidRPr="005518B4">
              <w:rPr>
                <w:color w:val="000000"/>
                <w:sz w:val="27"/>
                <w:szCs w:val="27"/>
              </w:rPr>
              <w:t>О проведении публичных слушаний</w:t>
            </w:r>
          </w:p>
          <w:p w:rsidR="002F7DC3" w:rsidRDefault="005518B4" w:rsidP="005457ED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518B4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      </w:r>
            <w:r w:rsidR="002F7DC3" w:rsidRPr="002F7DC3">
              <w:rPr>
                <w:color w:val="000000"/>
                <w:sz w:val="27"/>
                <w:szCs w:val="27"/>
              </w:rPr>
              <w:t xml:space="preserve">42:24:0101042:1084 </w:t>
            </w:r>
          </w:p>
          <w:p w:rsidR="00681927" w:rsidRPr="009F6D1A" w:rsidRDefault="002F7DC3" w:rsidP="005457ED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2F7DC3">
              <w:rPr>
                <w:color w:val="000000"/>
                <w:sz w:val="27"/>
                <w:szCs w:val="27"/>
              </w:rPr>
              <w:t>по ул. Панаева, 4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</w:p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5457ED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13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2F7DC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5457ED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2F7DC3">
              <w:rPr>
                <w:sz w:val="27"/>
                <w:szCs w:val="27"/>
              </w:rPr>
              <w:t>27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2F7DC3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2F7DC3">
              <w:rPr>
                <w:sz w:val="27"/>
                <w:szCs w:val="27"/>
                <w:lang w:eastAsia="ru-RU"/>
              </w:rPr>
              <w:t>27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A35658" w:rsidRPr="005171D5">
              <w:rPr>
                <w:sz w:val="27"/>
                <w:szCs w:val="27"/>
                <w:lang w:eastAsia="ru-RU"/>
              </w:rPr>
              <w:t>10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5457ED"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eastAsia="ru-RU"/>
              </w:rPr>
              <w:t>.</w:t>
            </w:r>
            <w:r w:rsidR="005518B4">
              <w:rPr>
                <w:sz w:val="27"/>
                <w:szCs w:val="27"/>
                <w:lang w:eastAsia="ru-RU"/>
              </w:rPr>
              <w:t>00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5457ED">
              <w:rPr>
                <w:color w:val="000000"/>
                <w:sz w:val="27"/>
                <w:szCs w:val="27"/>
              </w:rPr>
              <w:t>20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2F7DC3">
              <w:rPr>
                <w:color w:val="000000"/>
                <w:sz w:val="27"/>
                <w:szCs w:val="27"/>
              </w:rPr>
              <w:t>26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12</w:t>
            </w:r>
            <w:r w:rsidR="005457ED">
              <w:rPr>
                <w:sz w:val="27"/>
                <w:szCs w:val="27"/>
              </w:rPr>
              <w:t>:00, с 14:</w:t>
            </w:r>
            <w:r w:rsidRPr="005171D5">
              <w:rPr>
                <w:sz w:val="27"/>
                <w:szCs w:val="27"/>
              </w:rPr>
              <w:t xml:space="preserve">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="005457ED">
              <w:rPr>
                <w:sz w:val="27"/>
                <w:szCs w:val="27"/>
              </w:rPr>
              <w:t>до 17:</w:t>
            </w:r>
            <w:r w:rsidRPr="005171D5">
              <w:rPr>
                <w:sz w:val="27"/>
                <w:szCs w:val="27"/>
              </w:rPr>
              <w:t>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10</w:t>
            </w:r>
            <w:r w:rsidR="005457ED">
              <w:rPr>
                <w:sz w:val="27"/>
                <w:szCs w:val="27"/>
              </w:rPr>
              <w:t>:</w:t>
            </w:r>
            <w:r w:rsidRPr="005171D5">
              <w:rPr>
                <w:sz w:val="27"/>
                <w:szCs w:val="27"/>
              </w:rPr>
              <w:t>00.</w:t>
            </w:r>
          </w:p>
          <w:p w:rsidR="008F5065" w:rsidRPr="005171D5" w:rsidRDefault="00FE7086" w:rsidP="002F7DC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5457ED">
              <w:rPr>
                <w:color w:val="000000"/>
                <w:sz w:val="27"/>
                <w:szCs w:val="27"/>
              </w:rPr>
              <w:t>20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.10.2020 по </w:t>
            </w:r>
            <w:r w:rsidR="002F7DC3">
              <w:rPr>
                <w:color w:val="000000"/>
                <w:sz w:val="27"/>
                <w:szCs w:val="27"/>
              </w:rPr>
              <w:t>26</w:t>
            </w:r>
            <w:r w:rsidR="0072158B" w:rsidRPr="005171D5">
              <w:rPr>
                <w:color w:val="000000"/>
                <w:sz w:val="27"/>
                <w:szCs w:val="27"/>
              </w:rPr>
              <w:t>.10.2020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E2603" w:rsidRPr="005171D5" w:rsidRDefault="007E2603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FE27C8" w:rsidRPr="005171D5" w:rsidRDefault="00FE27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5522BA" w:rsidRPr="005171D5" w:rsidRDefault="005522BA">
      <w:pPr>
        <w:pStyle w:val="a6"/>
        <w:widowControl w:val="0"/>
        <w:jc w:val="center"/>
        <w:rPr>
          <w:sz w:val="27"/>
          <w:szCs w:val="27"/>
        </w:rPr>
      </w:pPr>
    </w:p>
    <w:p w:rsidR="001F0A82" w:rsidRPr="005171D5" w:rsidRDefault="001F0A82">
      <w:pPr>
        <w:pStyle w:val="a6"/>
        <w:widowControl w:val="0"/>
        <w:jc w:val="center"/>
        <w:rPr>
          <w:sz w:val="27"/>
          <w:szCs w:val="27"/>
        </w:rPr>
      </w:pPr>
    </w:p>
    <w:sectPr w:rsidR="001F0A82" w:rsidRPr="005171D5" w:rsidSect="005457ED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56" w:rsidRDefault="00273B56">
      <w:r>
        <w:separator/>
      </w:r>
    </w:p>
  </w:endnote>
  <w:endnote w:type="continuationSeparator" w:id="0">
    <w:p w:rsidR="00273B56" w:rsidRDefault="0027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56" w:rsidRDefault="00273B56">
      <w:r>
        <w:separator/>
      </w:r>
    </w:p>
  </w:footnote>
  <w:footnote w:type="continuationSeparator" w:id="0">
    <w:p w:rsidR="00273B56" w:rsidRDefault="0027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67533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84A31"/>
    <w:rsid w:val="001934F9"/>
    <w:rsid w:val="001A25F8"/>
    <w:rsid w:val="001A576B"/>
    <w:rsid w:val="001C061A"/>
    <w:rsid w:val="001C7E6F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2C1"/>
    <w:rsid w:val="00254B59"/>
    <w:rsid w:val="0025679C"/>
    <w:rsid w:val="00262DA7"/>
    <w:rsid w:val="00273B56"/>
    <w:rsid w:val="00275448"/>
    <w:rsid w:val="002C0DF6"/>
    <w:rsid w:val="002C2671"/>
    <w:rsid w:val="002D5E23"/>
    <w:rsid w:val="002F7DC3"/>
    <w:rsid w:val="00317E34"/>
    <w:rsid w:val="00325782"/>
    <w:rsid w:val="0033284D"/>
    <w:rsid w:val="00333150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457ED"/>
    <w:rsid w:val="005511DA"/>
    <w:rsid w:val="005518B4"/>
    <w:rsid w:val="005522BA"/>
    <w:rsid w:val="0056480B"/>
    <w:rsid w:val="00566071"/>
    <w:rsid w:val="0057490C"/>
    <w:rsid w:val="00580D5D"/>
    <w:rsid w:val="00584AD1"/>
    <w:rsid w:val="005934A0"/>
    <w:rsid w:val="005956A1"/>
    <w:rsid w:val="005B7C5F"/>
    <w:rsid w:val="005C66CE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1D0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176F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B5DC5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236D5"/>
    <w:rsid w:val="00A35658"/>
    <w:rsid w:val="00A46413"/>
    <w:rsid w:val="00A6124E"/>
    <w:rsid w:val="00A70C33"/>
    <w:rsid w:val="00A7257E"/>
    <w:rsid w:val="00A82566"/>
    <w:rsid w:val="00A85853"/>
    <w:rsid w:val="00A937BB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83D88"/>
    <w:rsid w:val="00D90157"/>
    <w:rsid w:val="00D93DBD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D441D"/>
    <w:rsid w:val="00EF197F"/>
    <w:rsid w:val="00F33655"/>
    <w:rsid w:val="00F6113D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BFD283A-D110-4C69-B422-CE06CE7F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3235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2020-10-12T04:27:00Z</cp:lastPrinted>
  <dcterms:created xsi:type="dcterms:W3CDTF">2020-10-13T10:07:00Z</dcterms:created>
  <dcterms:modified xsi:type="dcterms:W3CDTF">2020-10-13T10:07:00Z</dcterms:modified>
</cp:coreProperties>
</file>