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Приложение </w:t>
      </w:r>
      <w:r w:rsidR="00FB26AE" w:rsidRPr="0010118A">
        <w:rPr>
          <w:bCs/>
        </w:rPr>
        <w:t>№ 3</w:t>
      </w:r>
    </w:p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к извещению о проведении </w:t>
      </w:r>
      <w:r w:rsidR="0010118A">
        <w:rPr>
          <w:bCs/>
        </w:rPr>
        <w:t>конкурса</w:t>
      </w:r>
    </w:p>
    <w:p w:rsidR="00FB26AE" w:rsidRPr="0010118A" w:rsidRDefault="00FB26AE">
      <w:pPr>
        <w:pStyle w:val="a1"/>
        <w:jc w:val="right"/>
        <w:rPr>
          <w:bCs/>
        </w:rPr>
      </w:pPr>
    </w:p>
    <w:p w:rsidR="00C22D27" w:rsidRPr="0010118A" w:rsidRDefault="00C22D27">
      <w:pPr>
        <w:pStyle w:val="a1"/>
        <w:jc w:val="right"/>
        <w:rPr>
          <w:b/>
          <w:bCs/>
        </w:rPr>
      </w:pPr>
    </w:p>
    <w:p w:rsidR="00113F5C" w:rsidRPr="00EE48C0" w:rsidRDefault="00C22D27" w:rsidP="00E80922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DA4A9E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Конкурсные условия. </w:t>
      </w:r>
      <w:r w:rsidR="00E80922" w:rsidRPr="00EE48C0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="00E80922" w:rsidRPr="00EE48C0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EE48C0" w:rsidRDefault="00AD7639">
      <w:pPr>
        <w:spacing w:line="249" w:lineRule="auto"/>
        <w:ind w:firstLine="697"/>
        <w:contextualSpacing/>
        <w:outlineLvl w:val="0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77690B" w:rsidRPr="00DA4A9E" w:rsidRDefault="00C22D27" w:rsidP="00F421B2">
      <w:pPr>
        <w:spacing w:after="4" w:line="247" w:lineRule="auto"/>
        <w:ind w:left="-15" w:right="-1" w:firstLine="866"/>
        <w:jc w:val="both"/>
        <w:rPr>
          <w:szCs w:val="28"/>
        </w:rPr>
      </w:pPr>
      <w:r w:rsidRPr="00EE48C0">
        <w:rPr>
          <w:rFonts w:ascii="Times New Roman" w:eastAsia="Times New Roman" w:hAnsi="Times New Roman" w:cs="Times New Roman"/>
          <w:color w:val="000000"/>
          <w:szCs w:val="28"/>
        </w:rPr>
        <w:t>Для оценки заявок участников согласно пунктам 11 и 12 Правил проведения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 торгов на право заключения договора о комплексном развитии территории, утвержденных постановлением Правительства Российской Федерации № 701 от 04.05.2021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</w:t>
      </w:r>
      <w:r w:rsidR="00D37A72">
        <w:rPr>
          <w:rFonts w:ascii="Times New Roman" w:eastAsia="Times New Roman" w:hAnsi="Times New Roman" w:cs="Times New Roman"/>
          <w:color w:val="000000"/>
          <w:szCs w:val="28"/>
        </w:rPr>
        <w:t xml:space="preserve"> установлены следующие конкурсные условия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1.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торгов.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2.  </w:t>
      </w:r>
      <w:r w:rsidR="00F34562" w:rsidRPr="00F34562">
        <w:rPr>
          <w:rFonts w:ascii="Times New Roman" w:hAnsi="Times New Roman" w:cs="Times New Roman"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="00F34562">
        <w:rPr>
          <w:rFonts w:ascii="Times New Roman" w:hAnsi="Times New Roman" w:cs="Times New Roman"/>
          <w:kern w:val="0"/>
          <w:szCs w:val="28"/>
          <w:lang w:bidi="ar-SA"/>
        </w:rPr>
        <w:t>.</w:t>
      </w:r>
    </w:p>
    <w:p w:rsidR="00134E52" w:rsidRPr="00F34562" w:rsidRDefault="00F34562" w:rsidP="00F421B2">
      <w:pPr>
        <w:spacing w:after="4" w:line="247" w:lineRule="auto"/>
        <w:ind w:left="-15"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3. 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D37A7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– город Кемерово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</w:p>
    <w:p w:rsidR="00AD7639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Критерии </w:t>
      </w:r>
      <w:r w:rsidR="003D610E">
        <w:rPr>
          <w:rFonts w:ascii="Times New Roman" w:eastAsia="Times New Roman" w:hAnsi="Times New Roman" w:cs="Times New Roman"/>
          <w:color w:val="000000"/>
          <w:szCs w:val="28"/>
        </w:rPr>
        <w:t>оценки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DA4A9E" w:rsidRP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W w:w="10205" w:type="dxa"/>
        <w:tblInd w:w="-7" w:type="dxa"/>
        <w:tblLayout w:type="fixed"/>
        <w:tblCellMar>
          <w:top w:w="65" w:type="dxa"/>
          <w:left w:w="149" w:type="dxa"/>
          <w:right w:w="89" w:type="dxa"/>
        </w:tblCellMar>
        <w:tblLook w:val="0000" w:firstRow="0" w:lastRow="0" w:firstColumn="0" w:lastColumn="0" w:noHBand="0" w:noVBand="0"/>
      </w:tblPr>
      <w:tblGrid>
        <w:gridCol w:w="566"/>
        <w:gridCol w:w="3373"/>
        <w:gridCol w:w="2127"/>
        <w:gridCol w:w="1417"/>
        <w:gridCol w:w="1276"/>
        <w:gridCol w:w="1446"/>
      </w:tblGrid>
      <w:tr w:rsidR="00AD7639" w:rsidRPr="0010118A" w:rsidTr="003D610E">
        <w:trPr>
          <w:trHeight w:val="16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89550E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№</w:t>
            </w:r>
          </w:p>
          <w:p w:rsidR="00AD7639" w:rsidRPr="00587149" w:rsidRDefault="00C22D27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Критерий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Начальное значение</w:t>
            </w:r>
          </w:p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Предел изменения</w:t>
            </w:r>
          </w:p>
          <w:p w:rsidR="00AD7639" w:rsidRPr="00587149" w:rsidRDefault="00C22D27" w:rsidP="003D610E">
            <w:pPr>
              <w:widowControl/>
              <w:ind w:left="28" w:right="-1" w:hanging="28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начального значения критерия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587149" w:rsidRDefault="00C22D27" w:rsidP="00F421B2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Требование</w:t>
            </w:r>
          </w:p>
          <w:p w:rsidR="00AD7639" w:rsidRPr="00587149" w:rsidRDefault="00C22D27" w:rsidP="003D610E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 к изменению начального значения критерия 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Коэффициент значимости критерия </w:t>
            </w:r>
          </w:p>
        </w:tc>
      </w:tr>
      <w:tr w:rsidR="00AD7639" w:rsidRPr="0010118A" w:rsidTr="003D610E">
        <w:trPr>
          <w:trHeight w:val="208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1</w:t>
            </w:r>
            <w:r w:rsidR="004A3822"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E3D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предусмотренного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договором о комплексном развитии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территории финансирования работ,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подлежащих выполнению лицом, с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которым договор о комплексном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развитии территории должен быть </w:t>
            </w:r>
          </w:p>
          <w:p w:rsidR="00AD7639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заключен по результатам торгов.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6752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="0035313C"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финансирования устанавливается в размере </w:t>
            </w:r>
          </w:p>
          <w:p w:rsidR="00AD7639" w:rsidRPr="00587149" w:rsidRDefault="0035313C" w:rsidP="009778B6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</w:t>
            </w:r>
            <w:r w:rsidR="00DE70B5"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6</w:t>
            </w:r>
            <w:r w:rsidR="00496752"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 </w:t>
            </w:r>
            <w:r w:rsidR="009778B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936</w:t>
            </w:r>
            <w:bookmarkStart w:id="0" w:name="_GoBack"/>
            <w:bookmarkEnd w:id="0"/>
            <w:r w:rsidR="00496752"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58714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000 000 рублей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k1 </w:t>
            </w: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= 0,</w:t>
            </w:r>
            <w:r w:rsidR="00277165"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1</w:t>
            </w:r>
          </w:p>
        </w:tc>
      </w:tr>
      <w:tr w:rsidR="004A3822" w:rsidRPr="0010118A" w:rsidTr="003D610E">
        <w:trPr>
          <w:trHeight w:val="162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lastRenderedPageBreak/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E3D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Цена права на заключение договора о </w:t>
            </w:r>
          </w:p>
          <w:p w:rsidR="004A3822" w:rsidRPr="00587149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комплексном развитии территории</w:t>
            </w:r>
          </w:p>
          <w:p w:rsidR="004A3822" w:rsidRPr="00587149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587149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минимальная ц</w:t>
            </w:r>
            <w:r w:rsidRPr="00587149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ена права на заключение договора о комплексном развитии территории</w:t>
            </w:r>
          </w:p>
          <w:p w:rsidR="004A3822" w:rsidRPr="00587149" w:rsidRDefault="004A3822" w:rsidP="00967D4C">
            <w:pPr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устанавливается в размере </w:t>
            </w:r>
            <w:r w:rsidR="00967D4C" w:rsidRPr="00967D4C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355 461 559</w:t>
            </w:r>
            <w:r w:rsidR="009945F9" w:rsidRPr="00967D4C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967D4C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рубл</w:t>
            </w:r>
            <w:r w:rsidR="00967D4C" w:rsidRPr="00967D4C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k1 = 0,</w:t>
            </w:r>
            <w:r w:rsidR="00277165"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4</w:t>
            </w:r>
          </w:p>
        </w:tc>
      </w:tr>
      <w:tr w:rsidR="004A3822" w:rsidRPr="0010118A" w:rsidTr="003D610E">
        <w:trPr>
          <w:trHeight w:val="139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3.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5C32DE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sz w:val="16"/>
                <w:szCs w:val="16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      </w:r>
            <w:r w:rsidR="005C32DE" w:rsidRPr="00587149">
              <w:rPr>
                <w:sz w:val="16"/>
                <w:szCs w:val="16"/>
              </w:rPr>
              <w:t xml:space="preserve"> – город Кемерово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884" w:rsidRDefault="004A3822" w:rsidP="005679FB">
            <w:pPr>
              <w:ind w:right="-1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FA5884" w:rsidRPr="00FA5884" w:rsidRDefault="00E8606D" w:rsidP="00FA5884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б</w:t>
            </w:r>
            <w:r w:rsidR="00FA5884"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лагоустроенные жилые помещения с отделкой «под ключ» не менее 1 процента от предварительного расчета площади планируемого размещения объектов жилого фонда на территории, подлежащей комплексному развитию, что составляет не менее                            </w:t>
            </w:r>
            <w:r w:rsidR="00FA5884"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9,36</w:t>
            </w:r>
            <w:r w:rsidR="00FA5884" w:rsidRPr="00FA5884">
              <w:rPr>
                <w:rFonts w:ascii="Times New Roman" w:eastAsiaTheme="minorHAnsi" w:hAnsi="Times New Roman" w:cs="Times New Roman"/>
                <w:b/>
                <w:color w:val="FF0000"/>
                <w:kern w:val="0"/>
                <w:sz w:val="16"/>
                <w:szCs w:val="16"/>
                <w:lang w:eastAsia="en-US" w:bidi="ar-SA"/>
              </w:rPr>
              <w:t xml:space="preserve"> </w:t>
            </w:r>
            <w:proofErr w:type="spellStart"/>
            <w:r w:rsidR="00FA5884"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тыс.кв.м</w:t>
            </w:r>
            <w:proofErr w:type="spellEnd"/>
            <w:r w:rsidR="00FA5884"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,</w:t>
            </w:r>
            <w:r w:rsidR="00FA5884"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предназначенные для предоставления следующим категориям в пропорции:</w:t>
            </w:r>
          </w:p>
          <w:p w:rsidR="00FA5884" w:rsidRPr="00FA5884" w:rsidRDefault="00FA5884" w:rsidP="00FA5884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60%</w:t>
            </w:r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детям-сиротам и детям, оставшимся без попечения родителей, лицам из числа детей-сирот и детей, оставшихся без попечения родителей. При этом общая площадь каждого жилого помещения должна составлять </w:t>
            </w: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не менее 14 и не свыше 33 </w:t>
            </w:r>
            <w:proofErr w:type="spellStart"/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;</w:t>
            </w:r>
          </w:p>
          <w:p w:rsidR="00FA5884" w:rsidRDefault="00FA5884" w:rsidP="00FA5884">
            <w:pPr>
              <w:ind w:right="-1"/>
              <w:jc w:val="both"/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40%</w:t>
            </w:r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гражданам, местом жительства которых являются жилые помещения, признанные непригодными для проживания, или жилые помещения в многоквартирных домах, признанных аварийными и подлежащими сносу, при условии, что указанные жилые помещения являются для них единственными. При этом общая площадь каждого жилого помещения должна составлять </w:t>
            </w: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 30</w:t>
            </w:r>
            <w:r w:rsidRPr="00FA5884">
              <w:rPr>
                <w:rFonts w:asciiTheme="minorHAnsi" w:eastAsiaTheme="minorHAnsi" w:hAnsiTheme="minorHAnsi" w:cstheme="minorBidi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и не свыше 50 </w:t>
            </w:r>
            <w:proofErr w:type="spellStart"/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FA588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.</w:t>
            </w:r>
          </w:p>
          <w:p w:rsidR="004A3822" w:rsidRPr="00587149" w:rsidRDefault="00FA5884" w:rsidP="00FA588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Указанные жилые помещения должны </w:t>
            </w:r>
            <w:proofErr w:type="gramStart"/>
            <w:r w:rsidRPr="00FA5884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предоставляться</w:t>
            </w:r>
            <w:proofErr w:type="gramEnd"/>
            <w:r w:rsidRPr="00FA5884">
              <w:rPr>
                <w:rFonts w:ascii="Times New Roman" w:eastAsia="Calibr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начиная с 2028 года, ежегодно равными долями пропорционально от общей площади, подлежащей безвозмездной передаче, но не позднее года окончания действия договора</w:t>
            </w:r>
            <w:r w:rsidR="0019213C" w:rsidRPr="0019213C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highlight w:val="yellow"/>
                <w:lang w:eastAsia="en-US" w:bidi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=</w:t>
            </w:r>
            <w:r w:rsidRPr="00587149">
              <w:rPr>
                <w:sz w:val="16"/>
                <w:szCs w:val="16"/>
                <w:lang w:val="en-US"/>
                <w14:ligatures w14:val="standardContextual"/>
              </w:rPr>
              <w:t xml:space="preserve"> </w:t>
            </w:r>
            <w:r w:rsidRPr="00587149">
              <w:rPr>
                <w:sz w:val="16"/>
                <w:szCs w:val="16"/>
                <w14:ligatures w14:val="standardContextual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sz w:val="16"/>
                <w:szCs w:val="16"/>
                <w14:ligatures w14:val="standardContextual"/>
              </w:rPr>
              <w:t>увеличение показателя до значения до В</w:t>
            </w:r>
            <w:r w:rsidRPr="00587149">
              <w:rPr>
                <w:sz w:val="16"/>
                <w:szCs w:val="16"/>
                <w:lang w:val="en-US"/>
                <w14:ligatures w14:val="standardContextual"/>
              </w:rPr>
              <w:t>max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</w:t>
            </w:r>
            <w:r w:rsidRPr="00587149">
              <w:rPr>
                <w:sz w:val="16"/>
                <w:szCs w:val="16"/>
                <w14:ligatures w14:val="standardContextual"/>
              </w:rPr>
              <w:t>2</w:t>
            </w:r>
            <w:r w:rsidRPr="00587149">
              <w:rPr>
                <w:sz w:val="16"/>
                <w:szCs w:val="16"/>
                <w:lang w:val="en-US"/>
                <w14:ligatures w14:val="standardContextual"/>
              </w:rPr>
              <w:t xml:space="preserve"> = 0</w:t>
            </w:r>
            <w:r w:rsidRPr="00587149">
              <w:rPr>
                <w:sz w:val="16"/>
                <w:szCs w:val="16"/>
                <w14:ligatures w14:val="standardContextual"/>
              </w:rPr>
              <w:t>,</w:t>
            </w:r>
            <w:r w:rsidR="00277165" w:rsidRPr="00587149">
              <w:rPr>
                <w:sz w:val="16"/>
                <w:szCs w:val="16"/>
                <w14:ligatures w14:val="standardContextual"/>
              </w:rPr>
              <w:t>5</w:t>
            </w:r>
          </w:p>
        </w:tc>
      </w:tr>
    </w:tbl>
    <w:p w:rsidR="00AD7639" w:rsidRPr="0010118A" w:rsidRDefault="00AD7639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34E52" w:rsidRPr="0010118A" w:rsidRDefault="00134E52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2026A" w:rsidRPr="00E80922" w:rsidRDefault="0092026A" w:rsidP="0092026A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9D529B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Pr="00E80922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92026A" w:rsidRDefault="00C22D27" w:rsidP="0092026A">
      <w:pPr>
        <w:ind w:right="-1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2026A">
        <w:rPr>
          <w:rFonts w:ascii="Times New Roman" w:eastAsia="Times New Roman" w:hAnsi="Times New Roman" w:cs="Times New Roman"/>
          <w:color w:val="000000"/>
        </w:rPr>
        <w:t xml:space="preserve">Оценка конкурсных предложений производится в баллах. </w:t>
      </w:r>
    </w:p>
    <w:p w:rsidR="00AD7639" w:rsidRPr="0092026A" w:rsidRDefault="00C22D27" w:rsidP="0092026A">
      <w:pPr>
        <w:ind w:right="-1" w:firstLine="709"/>
        <w:jc w:val="both"/>
      </w:pPr>
      <w:r w:rsidRPr="0092026A">
        <w:rPr>
          <w:rFonts w:ascii="Times New Roman" w:eastAsia="Times New Roman" w:hAnsi="Times New Roman" w:cs="Times New Roman"/>
          <w:color w:val="000000"/>
        </w:rPr>
        <w:t>1. Общая оценка конкурсного предложения определяется по следующей формуле:</w:t>
      </w:r>
    </w:p>
    <w:p w:rsidR="00AD7639" w:rsidRPr="0010118A" w:rsidRDefault="00AD7639" w:rsidP="00F421B2">
      <w:pPr>
        <w:ind w:right="-1" w:firstLine="709"/>
        <w:rPr>
          <w:rFonts w:ascii="Times New Roman" w:eastAsia="Times New Roman" w:hAnsi="Times New Roman" w:cs="Times New Roman"/>
          <w:color w:val="000000"/>
        </w:rPr>
      </w:pPr>
    </w:p>
    <w:p w:rsidR="00AD7639" w:rsidRPr="0010118A" w:rsidRDefault="00C22D27" w:rsidP="00F421B2">
      <w:pPr>
        <w:spacing w:after="15"/>
        <w:ind w:right="-1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= S1 + S2</w:t>
      </w:r>
      <w:r w:rsidR="00F73D6E">
        <w:rPr>
          <w:rFonts w:ascii="Times New Roman" w:eastAsia="Times New Roman" w:hAnsi="Times New Roman" w:cs="Times New Roman"/>
          <w:color w:val="000000"/>
        </w:rPr>
        <w:t xml:space="preserve"> +</w:t>
      </w:r>
      <w:r w:rsidR="00F73D6E" w:rsidRPr="00F73D6E">
        <w:rPr>
          <w:rFonts w:ascii="Times New Roman" w:eastAsia="Times New Roman" w:hAnsi="Times New Roman" w:cs="Times New Roman"/>
          <w:color w:val="000000"/>
        </w:rPr>
        <w:t xml:space="preserve"> </w:t>
      </w:r>
      <w:r w:rsidR="00F73D6E" w:rsidRPr="0010118A">
        <w:rPr>
          <w:rFonts w:ascii="Times New Roman" w:eastAsia="Times New Roman" w:hAnsi="Times New Roman" w:cs="Times New Roman"/>
          <w:color w:val="000000"/>
        </w:rPr>
        <w:t>S</w:t>
      </w:r>
      <w:r w:rsidR="00F73D6E"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, где</w:t>
      </w:r>
    </w:p>
    <w:p w:rsidR="00AD7639" w:rsidRPr="0010118A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итогам конкурса;</w:t>
      </w:r>
    </w:p>
    <w:p w:rsidR="00AD7639" w:rsidRPr="0010118A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</w:t>
      </w:r>
      <w:r w:rsidRPr="0010118A">
        <w:rPr>
          <w:rFonts w:ascii="Times New Roman" w:eastAsia="Times New Roman" w:hAnsi="Times New Roman" w:cs="Times New Roman"/>
          <w:color w:val="000000"/>
        </w:rPr>
        <w:lastRenderedPageBreak/>
        <w:t>критерию 1;</w:t>
      </w:r>
    </w:p>
    <w:p w:rsidR="00F73D6E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S2 -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</w:t>
      </w:r>
      <w:r w:rsidR="004973FE" w:rsidRPr="0010118A">
        <w:rPr>
          <w:rFonts w:ascii="Times New Roman" w:eastAsia="Times New Roman" w:hAnsi="Times New Roman" w:cs="Times New Roman"/>
          <w:color w:val="000000"/>
        </w:rPr>
        <w:t xml:space="preserve"> 2</w:t>
      </w:r>
      <w:r w:rsidR="00F73D6E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10118A" w:rsidRDefault="00F73D6E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S3 </w:t>
      </w:r>
      <w:r w:rsidRPr="0010118A">
        <w:rPr>
          <w:rFonts w:ascii="Times New Roman" w:eastAsia="Times New Roman" w:hAnsi="Times New Roman" w:cs="Times New Roman"/>
          <w:color w:val="000000"/>
        </w:rPr>
        <w:t>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 </w:t>
      </w:r>
      <w:r>
        <w:rPr>
          <w:rFonts w:ascii="Times New Roman" w:eastAsia="Times New Roman" w:hAnsi="Times New Roman" w:cs="Times New Roman"/>
          <w:color w:val="000000"/>
        </w:rPr>
        <w:t>3.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Победителем конкурса признается участник конкурса, который предложил наилучшие условия с наибольшим </w:t>
      </w:r>
      <w:r w:rsidRPr="00DA4A9E">
        <w:rPr>
          <w:rFonts w:ascii="Times New Roman" w:eastAsia="Times New Roman" w:hAnsi="Times New Roman" w:cs="Times New Roman"/>
          <w:color w:val="000000"/>
        </w:rPr>
        <w:t xml:space="preserve">значением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Прочие конкурсные предложения ранжируются по степени убывания их значений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10118A" w:rsidRDefault="00C22D27" w:rsidP="00F421B2">
      <w:pPr>
        <w:spacing w:after="34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В случае, если два и более конкурсных предложений получили одинаковое значение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, Победителем конкурса при</w:t>
      </w:r>
      <w:r w:rsidRPr="0010118A">
        <w:rPr>
          <w:rFonts w:ascii="Times New Roman" w:eastAsia="Times New Roman" w:hAnsi="Times New Roman" w:cs="Times New Roman"/>
          <w:color w:val="000000"/>
        </w:rPr>
        <w:t>знается участник, чье конкурсное предложение поступило ранее других.</w:t>
      </w:r>
    </w:p>
    <w:p w:rsidR="00AD7639" w:rsidRPr="0010118A" w:rsidRDefault="00C22D27" w:rsidP="00F421B2">
      <w:pPr>
        <w:spacing w:line="247" w:lineRule="auto"/>
        <w:ind w:left="-17" w:right="-1" w:firstLine="726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10118A">
        <w:rPr>
          <w:rFonts w:ascii="Times New Roman" w:eastAsia="Times New Roman" w:hAnsi="Times New Roman" w:cs="Times New Roman"/>
          <w:i/>
          <w:color w:val="000000"/>
        </w:rPr>
        <w:t>1.1. Оценка конкурсного предложения участника конкурса по критерию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торгов», где: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S1 - значение в баллах, присуждаемое по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ind w:right="-1" w:firstLine="726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= 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3" w:line="244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максимальное среди конкурсных предложений участников конкурса в пределах, установленных параметрами критерия 1;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содержащееся в i-м конкурсном предложении;</w:t>
      </w:r>
    </w:p>
    <w:p w:rsidR="00AD7639" w:rsidRPr="0010118A" w:rsidRDefault="00C22D27" w:rsidP="00F421B2">
      <w:pPr>
        <w:spacing w:after="356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1.</w:t>
      </w:r>
    </w:p>
    <w:p w:rsidR="00AD7639" w:rsidRPr="00646A10" w:rsidRDefault="00C22D27" w:rsidP="00646A1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 w:rsidR="00134E52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D82A19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="00646A10" w:rsidRPr="00646A10">
        <w:rPr>
          <w:rFonts w:ascii="Times New Roman" w:hAnsi="Times New Roman" w:cs="Times New Roman"/>
          <w:i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AD7639" w:rsidRPr="00787A79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 w:rsidR="00DA4A9E" w:rsidRPr="00787A79">
        <w:rPr>
          <w:rFonts w:ascii="Times New Roman" w:eastAsia="Times New Roman" w:hAnsi="Times New Roman" w:cs="Times New Roman"/>
          <w:color w:val="000000"/>
        </w:rPr>
        <w:t>2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 w:rsidR="00DA4A9E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участников конкурса в пределах, установленных параметрами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AD7639" w:rsidRDefault="00E6529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C22D27"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3B528A" w:rsidRDefault="003B528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5D30C8"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Pr="0010118A">
        <w:rPr>
          <w:i/>
          <w:szCs w:val="28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A96109">
        <w:rPr>
          <w:i/>
          <w:szCs w:val="28"/>
        </w:rPr>
        <w:t xml:space="preserve"> – город Кемерово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3B528A" w:rsidRPr="00787A79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3B528A" w:rsidRPr="0010118A" w:rsidRDefault="003B528A" w:rsidP="003B528A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</w:t>
      </w:r>
      <w:r w:rsidRPr="0010118A">
        <w:rPr>
          <w:rFonts w:ascii="Times New Roman" w:eastAsia="Times New Roman" w:hAnsi="Times New Roman" w:cs="Times New Roman"/>
          <w:color w:val="000000"/>
        </w:rPr>
        <w:lastRenderedPageBreak/>
        <w:t xml:space="preserve">участников конкурса в пределах, установленных параметрами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3B528A" w:rsidRPr="0010118A" w:rsidRDefault="003B528A" w:rsidP="003B528A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3B528A" w:rsidRPr="0010118A" w:rsidRDefault="003B528A" w:rsidP="003B528A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AD7639" w:rsidRPr="0010118A" w:rsidRDefault="00AD7639" w:rsidP="00F421B2">
      <w:pPr>
        <w:spacing w:after="630" w:line="249" w:lineRule="auto"/>
        <w:ind w:left="709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</w:pPr>
      <w:r w:rsidRPr="0010118A">
        <w:rPr>
          <w:rFonts w:ascii="Times New Roman" w:eastAsia="Times New Roman" w:hAnsi="Times New Roman" w:cs="Times New Roman"/>
          <w:b/>
          <w:color w:val="000000"/>
        </w:rPr>
        <w:t>Итоговый рейтинг заявки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рассчитывается путем сложения рейтингов по каждому критерию оценки заявки, установленному в конкурсной документации.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договора. 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Заявке на участие в конкурсе, в которой содержатся </w:t>
      </w:r>
      <w:r w:rsidR="002475A2">
        <w:rPr>
          <w:rFonts w:ascii="Times New Roman" w:eastAsia="Times New Roman" w:hAnsi="Times New Roman" w:cs="Times New Roman"/>
          <w:color w:val="000000"/>
        </w:rPr>
        <w:t>на</w:t>
      </w:r>
      <w:r w:rsidR="002475A2" w:rsidRPr="0010118A">
        <w:rPr>
          <w:rFonts w:ascii="Times New Roman" w:eastAsia="Times New Roman" w:hAnsi="Times New Roman" w:cs="Times New Roman"/>
          <w:color w:val="000000"/>
        </w:rPr>
        <w:t>илучшие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475A2">
        <w:rPr>
          <w:rFonts w:ascii="Times New Roman" w:eastAsia="Times New Roman" w:hAnsi="Times New Roman" w:cs="Times New Roman"/>
          <w:color w:val="000000"/>
        </w:rPr>
        <w:t xml:space="preserve">конкурсные 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условия, присваивается первый номер. </w:t>
      </w:r>
    </w:p>
    <w:p w:rsidR="00AD7639" w:rsidRPr="008B06E4" w:rsidRDefault="00AD7639" w:rsidP="00F421B2">
      <w:pPr>
        <w:spacing w:after="988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sectPr w:rsidR="00AD7639" w:rsidRPr="008B06E4">
      <w:headerReference w:type="default" r:id="rId8"/>
      <w:pgSz w:w="11906" w:h="16838"/>
      <w:pgMar w:top="1134" w:right="567" w:bottom="567" w:left="1134" w:header="567" w:footer="0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9A6" w:rsidRDefault="00AD09A6">
      <w:r>
        <w:separator/>
      </w:r>
    </w:p>
  </w:endnote>
  <w:endnote w:type="continuationSeparator" w:id="0">
    <w:p w:rsidR="00AD09A6" w:rsidRDefault="00AD0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charset w:val="02"/>
    <w:family w:val="auto"/>
    <w:pitch w:val="default"/>
  </w:font>
  <w:font w:name="Liberation Mono">
    <w:altName w:val="MS Gothic"/>
    <w:charset w:val="00"/>
    <w:family w:val="modern"/>
    <w:pitch w:val="fixed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9A6" w:rsidRDefault="00AD09A6">
      <w:r>
        <w:separator/>
      </w:r>
    </w:p>
  </w:footnote>
  <w:footnote w:type="continuationSeparator" w:id="0">
    <w:p w:rsidR="00AD09A6" w:rsidRDefault="00AD0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639" w:rsidRDefault="00C22D27">
    <w:pPr>
      <w:pStyle w:val="afff3"/>
    </w:pPr>
    <w:r>
      <w:fldChar w:fldCharType="begin"/>
    </w:r>
    <w:r>
      <w:instrText>PAGE</w:instrText>
    </w:r>
    <w:r>
      <w:fldChar w:fldCharType="separate"/>
    </w:r>
    <w:r w:rsidR="009778B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FB8"/>
    <w:multiLevelType w:val="multilevel"/>
    <w:tmpl w:val="37C0267A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2AAD7628"/>
    <w:multiLevelType w:val="multilevel"/>
    <w:tmpl w:val="7384EA2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494E0998"/>
    <w:multiLevelType w:val="multilevel"/>
    <w:tmpl w:val="9732C146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 w15:restartNumberingAfterBreak="0">
    <w:nsid w:val="72504116"/>
    <w:multiLevelType w:val="multilevel"/>
    <w:tmpl w:val="66961B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39"/>
    <w:rsid w:val="00012892"/>
    <w:rsid w:val="00050C70"/>
    <w:rsid w:val="00090FA3"/>
    <w:rsid w:val="000A46DF"/>
    <w:rsid w:val="00100528"/>
    <w:rsid w:val="0010118A"/>
    <w:rsid w:val="00106FAF"/>
    <w:rsid w:val="0011159A"/>
    <w:rsid w:val="00113F5C"/>
    <w:rsid w:val="00134E52"/>
    <w:rsid w:val="001364F9"/>
    <w:rsid w:val="00140A35"/>
    <w:rsid w:val="00142A34"/>
    <w:rsid w:val="00146699"/>
    <w:rsid w:val="001500C2"/>
    <w:rsid w:val="00187EE2"/>
    <w:rsid w:val="0019213C"/>
    <w:rsid w:val="00203585"/>
    <w:rsid w:val="002475A2"/>
    <w:rsid w:val="00277165"/>
    <w:rsid w:val="00286309"/>
    <w:rsid w:val="002C7FAC"/>
    <w:rsid w:val="002D74ED"/>
    <w:rsid w:val="00317DC1"/>
    <w:rsid w:val="00336573"/>
    <w:rsid w:val="00346877"/>
    <w:rsid w:val="0035313C"/>
    <w:rsid w:val="003539D6"/>
    <w:rsid w:val="00365869"/>
    <w:rsid w:val="003761E4"/>
    <w:rsid w:val="003B528A"/>
    <w:rsid w:val="003D610E"/>
    <w:rsid w:val="00454805"/>
    <w:rsid w:val="00466696"/>
    <w:rsid w:val="00472D70"/>
    <w:rsid w:val="004773DA"/>
    <w:rsid w:val="00496752"/>
    <w:rsid w:val="004973FE"/>
    <w:rsid w:val="004A248E"/>
    <w:rsid w:val="004A3822"/>
    <w:rsid w:val="005128B1"/>
    <w:rsid w:val="005679FB"/>
    <w:rsid w:val="00572FBD"/>
    <w:rsid w:val="00587149"/>
    <w:rsid w:val="005A3DEA"/>
    <w:rsid w:val="005C32DE"/>
    <w:rsid w:val="005D30C8"/>
    <w:rsid w:val="00606C09"/>
    <w:rsid w:val="006409D4"/>
    <w:rsid w:val="00646A10"/>
    <w:rsid w:val="00651E3D"/>
    <w:rsid w:val="00671305"/>
    <w:rsid w:val="006E7222"/>
    <w:rsid w:val="00761B6B"/>
    <w:rsid w:val="00774DAD"/>
    <w:rsid w:val="0077690B"/>
    <w:rsid w:val="00787A79"/>
    <w:rsid w:val="007C7C0D"/>
    <w:rsid w:val="007F15C6"/>
    <w:rsid w:val="00856B05"/>
    <w:rsid w:val="008606C8"/>
    <w:rsid w:val="00891828"/>
    <w:rsid w:val="0089550E"/>
    <w:rsid w:val="008B06E4"/>
    <w:rsid w:val="008B76B3"/>
    <w:rsid w:val="008F777D"/>
    <w:rsid w:val="0092026A"/>
    <w:rsid w:val="00922C6B"/>
    <w:rsid w:val="00967D4C"/>
    <w:rsid w:val="009778B6"/>
    <w:rsid w:val="009945F9"/>
    <w:rsid w:val="009C4EAB"/>
    <w:rsid w:val="009C5945"/>
    <w:rsid w:val="009C5F52"/>
    <w:rsid w:val="009D1AB9"/>
    <w:rsid w:val="009D529B"/>
    <w:rsid w:val="009D5ED9"/>
    <w:rsid w:val="009F3512"/>
    <w:rsid w:val="00A24EA6"/>
    <w:rsid w:val="00A54431"/>
    <w:rsid w:val="00A61068"/>
    <w:rsid w:val="00A7611F"/>
    <w:rsid w:val="00A86256"/>
    <w:rsid w:val="00A96109"/>
    <w:rsid w:val="00A96F75"/>
    <w:rsid w:val="00AB1D20"/>
    <w:rsid w:val="00AC1854"/>
    <w:rsid w:val="00AC7D13"/>
    <w:rsid w:val="00AD09A6"/>
    <w:rsid w:val="00AD7639"/>
    <w:rsid w:val="00AE79C2"/>
    <w:rsid w:val="00B04AA4"/>
    <w:rsid w:val="00B1005D"/>
    <w:rsid w:val="00B4463D"/>
    <w:rsid w:val="00B515B0"/>
    <w:rsid w:val="00B6289C"/>
    <w:rsid w:val="00B71C72"/>
    <w:rsid w:val="00B86452"/>
    <w:rsid w:val="00BD641A"/>
    <w:rsid w:val="00C22D27"/>
    <w:rsid w:val="00C66273"/>
    <w:rsid w:val="00CB4BC0"/>
    <w:rsid w:val="00CB6DFD"/>
    <w:rsid w:val="00CC6EB4"/>
    <w:rsid w:val="00D37A72"/>
    <w:rsid w:val="00D4072B"/>
    <w:rsid w:val="00D46E31"/>
    <w:rsid w:val="00D66E8A"/>
    <w:rsid w:val="00D82A19"/>
    <w:rsid w:val="00D865C1"/>
    <w:rsid w:val="00DA4A9E"/>
    <w:rsid w:val="00DE70B5"/>
    <w:rsid w:val="00DF3EF1"/>
    <w:rsid w:val="00DF5377"/>
    <w:rsid w:val="00E36F65"/>
    <w:rsid w:val="00E6529A"/>
    <w:rsid w:val="00E80922"/>
    <w:rsid w:val="00E8606D"/>
    <w:rsid w:val="00EB0673"/>
    <w:rsid w:val="00ED0C1E"/>
    <w:rsid w:val="00ED7588"/>
    <w:rsid w:val="00ED7E60"/>
    <w:rsid w:val="00EE48C0"/>
    <w:rsid w:val="00F15D48"/>
    <w:rsid w:val="00F34562"/>
    <w:rsid w:val="00F421B2"/>
    <w:rsid w:val="00F73D6E"/>
    <w:rsid w:val="00FA5884"/>
    <w:rsid w:val="00FB11D9"/>
    <w:rsid w:val="00FB26AE"/>
    <w:rsid w:val="00FD1514"/>
    <w:rsid w:val="00F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7B820-ADAA-4562-BA6B-CB7737F8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430096383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  <w:style w:type="paragraph" w:styleId="afffff1">
    <w:name w:val="List Paragraph"/>
    <w:basedOn w:val="a"/>
    <w:uiPriority w:val="1"/>
    <w:qFormat/>
    <w:rsid w:val="001500C2"/>
    <w:pPr>
      <w:ind w:left="720"/>
      <w:contextualSpacing/>
    </w:pPr>
  </w:style>
  <w:style w:type="table" w:styleId="afffff2">
    <w:name w:val="Table Grid"/>
    <w:basedOn w:val="a4"/>
    <w:uiPriority w:val="39"/>
    <w:rsid w:val="00134E52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BA3B-DFBB-4E79-83DB-8C9FF705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7091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ugr7</dc:creator>
  <dc:description/>
  <cp:lastModifiedBy>ugr7</cp:lastModifiedBy>
  <cp:revision>114</cp:revision>
  <cp:lastPrinted>2024-08-08T10:00:00Z</cp:lastPrinted>
  <dcterms:created xsi:type="dcterms:W3CDTF">2024-07-10T02:34:00Z</dcterms:created>
  <dcterms:modified xsi:type="dcterms:W3CDTF">2025-02-11T09:17:00Z</dcterms:modified>
  <dc:language>ru-RU</dc:language>
</cp:coreProperties>
</file>