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671182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23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40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26B91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6F301B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671182" w:rsidRDefault="006F301B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с кадастровым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номером 42:24:0</w:t>
            </w:r>
            <w:r w:rsidR="00671182">
              <w:rPr>
                <w:rFonts w:eastAsia="Arial" w:cs="Arial"/>
                <w:i/>
                <w:sz w:val="28"/>
                <w:szCs w:val="28"/>
              </w:rPr>
              <w:t>101030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671182">
              <w:rPr>
                <w:rFonts w:eastAsia="Arial" w:cs="Arial"/>
                <w:i/>
                <w:sz w:val="28"/>
                <w:szCs w:val="28"/>
              </w:rPr>
              <w:t>628</w:t>
            </w:r>
            <w:r w:rsidR="00826B91">
              <w:rPr>
                <w:rFonts w:eastAsia="Arial" w:cs="Arial"/>
                <w:i/>
                <w:sz w:val="28"/>
                <w:szCs w:val="28"/>
              </w:rPr>
              <w:t>, расположенно</w:t>
            </w:r>
            <w:r w:rsidR="00671182">
              <w:rPr>
                <w:rFonts w:eastAsia="Arial" w:cs="Arial"/>
                <w:i/>
                <w:sz w:val="28"/>
                <w:szCs w:val="28"/>
              </w:rPr>
              <w:t>му</w:t>
            </w:r>
          </w:p>
          <w:p w:rsidR="00EF4476" w:rsidRDefault="00671182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 южнее пересечения ул. Юрия Двужильного и ул. Космическая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67118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6711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671182" w:rsidRPr="00671182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11</w:t>
            </w:r>
            <w:r w:rsidRPr="00671182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671182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4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4D3815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671182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71182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671182">
              <w:rPr>
                <w:rFonts w:eastAsia="Arial" w:cs="Arial"/>
                <w:sz w:val="28"/>
                <w:szCs w:val="28"/>
              </w:rPr>
              <w:t>23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8B14B9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8B14B9">
              <w:rPr>
                <w:rFonts w:eastAsia="Arial" w:cs="Arial"/>
                <w:sz w:val="28"/>
                <w:szCs w:val="28"/>
              </w:rPr>
              <w:t xml:space="preserve">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 xml:space="preserve">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671182">
              <w:rPr>
                <w:rFonts w:eastAsia="Arial" w:cs="Arial"/>
                <w:sz w:val="28"/>
                <w:szCs w:val="28"/>
              </w:rPr>
              <w:t>23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 w:rsidR="00FD21F7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671182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671182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71182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67118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671182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627FC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8462E1">
              <w:rPr>
                <w:rFonts w:eastAsia="Arial"/>
                <w:sz w:val="28"/>
                <w:szCs w:val="28"/>
              </w:rPr>
              <w:t xml:space="preserve"> </w:t>
            </w:r>
            <w:r w:rsidR="00826B91">
              <w:rPr>
                <w:rFonts w:eastAsia="Arial"/>
                <w:sz w:val="28"/>
                <w:szCs w:val="28"/>
              </w:rPr>
              <w:t xml:space="preserve">многоэтажной жилой застройки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826B91">
              <w:rPr>
                <w:rFonts w:eastAsia="Arial" w:cs="Arial"/>
                <w:sz w:val="28"/>
                <w:szCs w:val="28"/>
              </w:rPr>
              <w:t>Ж</w:t>
            </w:r>
            <w:r w:rsidR="004D3815">
              <w:rPr>
                <w:rFonts w:eastAsia="Arial" w:cs="Arial"/>
                <w:sz w:val="28"/>
                <w:szCs w:val="28"/>
              </w:rPr>
              <w:t xml:space="preserve"> 1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671182">
              <w:rPr>
                <w:rFonts w:eastAsia="Arial" w:cs="Arial"/>
                <w:sz w:val="28"/>
                <w:szCs w:val="28"/>
              </w:rPr>
              <w:t>101030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671182">
              <w:rPr>
                <w:rFonts w:eastAsia="Arial" w:cs="Arial"/>
                <w:sz w:val="28"/>
                <w:szCs w:val="28"/>
              </w:rPr>
              <w:t>628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826B91" w:rsidRDefault="00826B91" w:rsidP="00826B91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sectPr w:rsidR="00826B91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34" w:rsidRDefault="00181B34">
      <w:r>
        <w:separator/>
      </w:r>
    </w:p>
  </w:endnote>
  <w:endnote w:type="continuationSeparator" w:id="0">
    <w:p w:rsidR="00181B34" w:rsidRDefault="001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DC" w:rsidRDefault="00B37E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34" w:rsidRDefault="00181B34">
      <w:r>
        <w:separator/>
      </w:r>
    </w:p>
  </w:footnote>
  <w:footnote w:type="continuationSeparator" w:id="0">
    <w:p w:rsidR="00181B34" w:rsidRDefault="0018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B5E20"/>
    <w:rsid w:val="000D08AE"/>
    <w:rsid w:val="000E72F2"/>
    <w:rsid w:val="000F117A"/>
    <w:rsid w:val="000F4D32"/>
    <w:rsid w:val="00181B34"/>
    <w:rsid w:val="001D0824"/>
    <w:rsid w:val="001E2922"/>
    <w:rsid w:val="00244CCE"/>
    <w:rsid w:val="00261A32"/>
    <w:rsid w:val="00282CDB"/>
    <w:rsid w:val="002D1E81"/>
    <w:rsid w:val="002F23AC"/>
    <w:rsid w:val="00325A3E"/>
    <w:rsid w:val="00364C14"/>
    <w:rsid w:val="00365C75"/>
    <w:rsid w:val="00375B21"/>
    <w:rsid w:val="00393ED8"/>
    <w:rsid w:val="0042290D"/>
    <w:rsid w:val="00445B6F"/>
    <w:rsid w:val="004B21F8"/>
    <w:rsid w:val="004C4BFE"/>
    <w:rsid w:val="004D3815"/>
    <w:rsid w:val="004D548C"/>
    <w:rsid w:val="004F35DE"/>
    <w:rsid w:val="00514ED3"/>
    <w:rsid w:val="00515D75"/>
    <w:rsid w:val="005811D9"/>
    <w:rsid w:val="005857CB"/>
    <w:rsid w:val="005D0331"/>
    <w:rsid w:val="005D45C0"/>
    <w:rsid w:val="0062476D"/>
    <w:rsid w:val="00627FC7"/>
    <w:rsid w:val="00671182"/>
    <w:rsid w:val="00682086"/>
    <w:rsid w:val="006D31B9"/>
    <w:rsid w:val="006F301B"/>
    <w:rsid w:val="00731BCE"/>
    <w:rsid w:val="00772885"/>
    <w:rsid w:val="007D24F1"/>
    <w:rsid w:val="008201C7"/>
    <w:rsid w:val="0082521D"/>
    <w:rsid w:val="00826B91"/>
    <w:rsid w:val="008462E1"/>
    <w:rsid w:val="008538DD"/>
    <w:rsid w:val="008B14B9"/>
    <w:rsid w:val="008E1866"/>
    <w:rsid w:val="008E4154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AF7A0C"/>
    <w:rsid w:val="00B25A68"/>
    <w:rsid w:val="00B25FA3"/>
    <w:rsid w:val="00B37EDC"/>
    <w:rsid w:val="00B84F70"/>
    <w:rsid w:val="00B9140F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118BD"/>
    <w:rsid w:val="00E515D4"/>
    <w:rsid w:val="00E9569A"/>
    <w:rsid w:val="00EB5D28"/>
    <w:rsid w:val="00EF3711"/>
    <w:rsid w:val="00EF4476"/>
    <w:rsid w:val="00F2781A"/>
    <w:rsid w:val="00F41B15"/>
    <w:rsid w:val="00F82114"/>
    <w:rsid w:val="00F93918"/>
    <w:rsid w:val="00FB484A"/>
    <w:rsid w:val="00FC2266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68207D-FC3D-4108-9E13-EB3D6E1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3717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2019-04-09T09:16:00Z</cp:lastPrinted>
  <dcterms:created xsi:type="dcterms:W3CDTF">2019-04-25T09:56:00Z</dcterms:created>
  <dcterms:modified xsi:type="dcterms:W3CDTF">2019-04-25T09:56:00Z</dcterms:modified>
</cp:coreProperties>
</file>