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C8" w:rsidRDefault="00FB12C8" w:rsidP="00FB12C8">
      <w:pPr>
        <w:pStyle w:val="24"/>
        <w:shd w:val="clear" w:color="auto" w:fill="auto"/>
        <w:ind w:right="58"/>
      </w:pPr>
      <w:bookmarkStart w:id="0" w:name="bookmark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369CE2" wp14:editId="322D430C">
            <wp:simplePos x="0" y="0"/>
            <wp:positionH relativeFrom="column">
              <wp:posOffset>19685</wp:posOffset>
            </wp:positionH>
            <wp:positionV relativeFrom="paragraph">
              <wp:posOffset>60960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шестой созыв</w:t>
      </w:r>
      <w:bookmarkEnd w:id="0"/>
    </w:p>
    <w:p w:rsidR="00FB12C8" w:rsidRDefault="00FB12C8" w:rsidP="00FB12C8">
      <w:pPr>
        <w:pStyle w:val="22"/>
        <w:shd w:val="clear" w:color="auto" w:fill="auto"/>
        <w:spacing w:after="442" w:line="280" w:lineRule="exact"/>
        <w:ind w:right="58"/>
      </w:pPr>
      <w:r>
        <w:t>шестьдесят седьмое заседание</w:t>
      </w:r>
    </w:p>
    <w:p w:rsidR="00FB12C8" w:rsidRDefault="00FB12C8" w:rsidP="00FB12C8">
      <w:pPr>
        <w:pStyle w:val="12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FB12C8" w:rsidRDefault="00FB12C8" w:rsidP="00FB12C8">
      <w:pPr>
        <w:pStyle w:val="22"/>
        <w:shd w:val="clear" w:color="auto" w:fill="auto"/>
        <w:spacing w:after="0" w:line="280" w:lineRule="exact"/>
        <w:jc w:val="left"/>
      </w:pPr>
      <w:r>
        <w:t>от 25.09.2020                                                                                                    № 3</w:t>
      </w:r>
      <w:r w:rsidR="000C74BE">
        <w:t>49</w:t>
      </w:r>
    </w:p>
    <w:p w:rsidR="00334741" w:rsidRPr="0024266D" w:rsidRDefault="00334741" w:rsidP="00334741">
      <w:pPr>
        <w:tabs>
          <w:tab w:val="left" w:pos="426"/>
        </w:tabs>
        <w:rPr>
          <w:sz w:val="10"/>
        </w:rPr>
      </w:pPr>
    </w:p>
    <w:p w:rsidR="00334741" w:rsidRPr="006F0123" w:rsidRDefault="00334741" w:rsidP="0071694F">
      <w:pPr>
        <w:pStyle w:val="2"/>
        <w:tabs>
          <w:tab w:val="left" w:pos="4678"/>
        </w:tabs>
        <w:ind w:right="4252"/>
        <w:jc w:val="both"/>
      </w:pPr>
      <w:r>
        <w:t>Об утверждении перечня услуг, которые являются необходимыми и обязательными для предоставления муниципальных услуг, оказываемых администрацией города Кемерово, и порядка определения платы за их оказание</w:t>
      </w:r>
    </w:p>
    <w:p w:rsidR="00334741" w:rsidRPr="008D40AB" w:rsidRDefault="00334741" w:rsidP="00334741">
      <w:pPr>
        <w:pStyle w:val="6"/>
        <w:tabs>
          <w:tab w:val="left" w:pos="851"/>
          <w:tab w:val="left" w:pos="9180"/>
        </w:tabs>
        <w:ind w:right="-109" w:firstLine="567"/>
        <w:jc w:val="both"/>
        <w:rPr>
          <w:b w:val="0"/>
          <w:sz w:val="28"/>
          <w:szCs w:val="28"/>
        </w:rPr>
      </w:pPr>
      <w:r w:rsidRPr="008D40AB">
        <w:rPr>
          <w:b w:val="0"/>
          <w:sz w:val="28"/>
          <w:szCs w:val="28"/>
        </w:rPr>
        <w:t xml:space="preserve">Руководствуясь Федеральным законом от 27.07.2010 №210-ФЗ </w:t>
      </w:r>
      <w:r w:rsidR="0071694F">
        <w:rPr>
          <w:b w:val="0"/>
          <w:sz w:val="28"/>
          <w:szCs w:val="28"/>
        </w:rPr>
        <w:br/>
      </w:r>
      <w:r w:rsidRPr="008D40AB">
        <w:rPr>
          <w:b w:val="0"/>
          <w:sz w:val="28"/>
          <w:szCs w:val="28"/>
        </w:rPr>
        <w:t>«Об организации предоставления государственных и муниципальных услуг</w:t>
      </w:r>
      <w:r w:rsidRPr="008D40AB">
        <w:rPr>
          <w:b w:val="0"/>
          <w:sz w:val="28"/>
          <w:szCs w:val="28"/>
          <w:lang w:eastAsia="en-US"/>
        </w:rPr>
        <w:t>»,</w:t>
      </w:r>
      <w:r w:rsidRPr="008D40AB">
        <w:rPr>
          <w:sz w:val="28"/>
          <w:szCs w:val="28"/>
          <w:lang w:eastAsia="en-US"/>
        </w:rPr>
        <w:t xml:space="preserve"> </w:t>
      </w:r>
      <w:r w:rsidRPr="008D40AB">
        <w:rPr>
          <w:b w:val="0"/>
          <w:sz w:val="28"/>
          <w:szCs w:val="28"/>
          <w:lang w:eastAsia="en-US"/>
        </w:rPr>
        <w:t xml:space="preserve">Уставом города Кемерово, </w:t>
      </w:r>
      <w:r w:rsidRPr="008D40AB">
        <w:rPr>
          <w:b w:val="0"/>
          <w:sz w:val="28"/>
          <w:szCs w:val="28"/>
        </w:rPr>
        <w:t>Кемеровский городской Совет народных депутатов</w:t>
      </w:r>
    </w:p>
    <w:p w:rsidR="00334741" w:rsidRPr="008D40AB" w:rsidRDefault="00334741" w:rsidP="00334741">
      <w:pPr>
        <w:pStyle w:val="a5"/>
        <w:ind w:right="-109" w:firstLine="567"/>
        <w:rPr>
          <w:sz w:val="16"/>
          <w:szCs w:val="28"/>
        </w:rPr>
      </w:pPr>
    </w:p>
    <w:p w:rsidR="00334741" w:rsidRPr="008D40AB" w:rsidRDefault="00334741" w:rsidP="00334741">
      <w:pPr>
        <w:pStyle w:val="a5"/>
        <w:ind w:right="-109" w:firstLine="567"/>
        <w:rPr>
          <w:szCs w:val="28"/>
        </w:rPr>
      </w:pPr>
      <w:r w:rsidRPr="008D40AB">
        <w:rPr>
          <w:szCs w:val="28"/>
        </w:rPr>
        <w:t>РЕШИЛ:</w:t>
      </w:r>
    </w:p>
    <w:p w:rsidR="00334741" w:rsidRPr="008D40AB" w:rsidRDefault="00334741" w:rsidP="00334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AB">
        <w:rPr>
          <w:rFonts w:ascii="Times New Roman" w:hAnsi="Times New Roman" w:cs="Times New Roman"/>
          <w:sz w:val="28"/>
          <w:szCs w:val="28"/>
        </w:rPr>
        <w:t xml:space="preserve">1. Утвердить перечень услуг, которые являются необходимыми </w:t>
      </w:r>
      <w:r w:rsidR="00E90B67">
        <w:rPr>
          <w:rFonts w:ascii="Times New Roman" w:hAnsi="Times New Roman" w:cs="Times New Roman"/>
          <w:sz w:val="28"/>
          <w:szCs w:val="28"/>
        </w:rPr>
        <w:br/>
      </w:r>
      <w:r w:rsidRPr="008D40AB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муниципальных услуг, оказываемых администрацией города Кемерово, согласно </w:t>
      </w:r>
      <w:proofErr w:type="gramStart"/>
      <w:r w:rsidRPr="008D40A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D40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325C0" w:rsidRPr="008D40AB" w:rsidRDefault="00F06C96" w:rsidP="00D32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AB">
        <w:rPr>
          <w:rFonts w:ascii="Times New Roman" w:hAnsi="Times New Roman" w:cs="Times New Roman"/>
          <w:sz w:val="28"/>
          <w:szCs w:val="28"/>
        </w:rPr>
        <w:t xml:space="preserve">2. </w:t>
      </w:r>
      <w:r w:rsidR="00953814" w:rsidRPr="008D40AB">
        <w:rPr>
          <w:rFonts w:ascii="Times New Roman" w:hAnsi="Times New Roman" w:cs="Times New Roman"/>
          <w:sz w:val="28"/>
          <w:szCs w:val="28"/>
        </w:rPr>
        <w:t xml:space="preserve">Установить, что определение размера </w:t>
      </w:r>
      <w:r w:rsidR="00953814" w:rsidRPr="00953814">
        <w:rPr>
          <w:rFonts w:ascii="Times New Roman" w:hAnsi="Times New Roman" w:cs="Times New Roman"/>
          <w:sz w:val="28"/>
          <w:szCs w:val="28"/>
        </w:rPr>
        <w:t>оплаты</w:t>
      </w:r>
      <w:r w:rsidR="00953814" w:rsidRPr="008D40A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города Кемерово муниципальных услуг и предоставляются муниципальными предприятиями и </w:t>
      </w:r>
      <w:r w:rsidR="00953814" w:rsidRPr="00953814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953814" w:rsidRPr="008D40AB"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постановлением Кемеровского городского Совета народных депутатов </w:t>
      </w:r>
      <w:r w:rsidR="00E80E1B">
        <w:rPr>
          <w:rFonts w:ascii="Times New Roman" w:hAnsi="Times New Roman" w:cs="Times New Roman"/>
          <w:sz w:val="28"/>
          <w:szCs w:val="28"/>
        </w:rPr>
        <w:br/>
      </w:r>
      <w:r w:rsidR="00953814" w:rsidRPr="008D40AB">
        <w:rPr>
          <w:rFonts w:ascii="Times New Roman" w:hAnsi="Times New Roman" w:cs="Times New Roman"/>
          <w:sz w:val="28"/>
          <w:szCs w:val="28"/>
        </w:rPr>
        <w:t xml:space="preserve">от 26.02.2006 №323 «О порядке принятия решений об установлении тарифов на услуги, предоставляемые муниципальными предприятиями </w:t>
      </w:r>
      <w:r w:rsidR="00E80E1B">
        <w:rPr>
          <w:rFonts w:ascii="Times New Roman" w:hAnsi="Times New Roman" w:cs="Times New Roman"/>
          <w:sz w:val="28"/>
          <w:szCs w:val="28"/>
        </w:rPr>
        <w:br/>
      </w:r>
      <w:r w:rsidR="00953814" w:rsidRPr="008D40AB">
        <w:rPr>
          <w:rFonts w:ascii="Times New Roman" w:hAnsi="Times New Roman" w:cs="Times New Roman"/>
          <w:sz w:val="28"/>
          <w:szCs w:val="28"/>
        </w:rPr>
        <w:t xml:space="preserve">и учреждениями, и работы, выполняемые муниципальными предприятиями </w:t>
      </w:r>
      <w:r w:rsidR="00E80E1B">
        <w:rPr>
          <w:rFonts w:ascii="Times New Roman" w:hAnsi="Times New Roman" w:cs="Times New Roman"/>
          <w:sz w:val="28"/>
          <w:szCs w:val="28"/>
        </w:rPr>
        <w:br/>
      </w:r>
      <w:r w:rsidR="00953814" w:rsidRPr="008D40AB">
        <w:rPr>
          <w:rFonts w:ascii="Times New Roman" w:hAnsi="Times New Roman" w:cs="Times New Roman"/>
          <w:sz w:val="28"/>
          <w:szCs w:val="28"/>
        </w:rPr>
        <w:t>и учреждениями»</w:t>
      </w:r>
      <w:r w:rsidR="00D325C0" w:rsidRPr="008D40AB">
        <w:rPr>
          <w:rFonts w:ascii="Times New Roman" w:hAnsi="Times New Roman" w:cs="Times New Roman"/>
          <w:sz w:val="28"/>
          <w:szCs w:val="28"/>
        </w:rPr>
        <w:t>.</w:t>
      </w:r>
    </w:p>
    <w:p w:rsidR="00334741" w:rsidRPr="008D40AB" w:rsidRDefault="00F06C96" w:rsidP="00334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AB">
        <w:rPr>
          <w:rFonts w:ascii="Times New Roman" w:hAnsi="Times New Roman" w:cs="Times New Roman"/>
          <w:sz w:val="28"/>
          <w:szCs w:val="28"/>
        </w:rPr>
        <w:t>3</w:t>
      </w:r>
      <w:r w:rsidR="00334741" w:rsidRPr="008D40AB">
        <w:rPr>
          <w:rFonts w:ascii="Times New Roman" w:hAnsi="Times New Roman" w:cs="Times New Roman"/>
          <w:sz w:val="28"/>
          <w:szCs w:val="28"/>
        </w:rPr>
        <w:t xml:space="preserve">. </w:t>
      </w:r>
      <w:r w:rsidR="00B51B99" w:rsidRPr="00B51B9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 w:rsidR="00334741" w:rsidRPr="008D40AB">
        <w:rPr>
          <w:rFonts w:ascii="Times New Roman" w:hAnsi="Times New Roman" w:cs="Times New Roman"/>
          <w:sz w:val="28"/>
          <w:szCs w:val="28"/>
        </w:rPr>
        <w:t>.</w:t>
      </w:r>
    </w:p>
    <w:p w:rsidR="00334741" w:rsidRPr="008D40AB" w:rsidRDefault="00F06C96" w:rsidP="00334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AB">
        <w:rPr>
          <w:rFonts w:ascii="Times New Roman" w:hAnsi="Times New Roman" w:cs="Times New Roman"/>
          <w:sz w:val="28"/>
          <w:szCs w:val="28"/>
        </w:rPr>
        <w:t>4</w:t>
      </w:r>
      <w:r w:rsidR="00334741" w:rsidRPr="008D40A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34741" w:rsidRPr="00334741" w:rsidRDefault="00F06C96" w:rsidP="00334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AB">
        <w:rPr>
          <w:rFonts w:ascii="Times New Roman" w:hAnsi="Times New Roman" w:cs="Times New Roman"/>
          <w:sz w:val="28"/>
          <w:szCs w:val="28"/>
        </w:rPr>
        <w:t>5</w:t>
      </w:r>
      <w:r w:rsidR="00334741" w:rsidRPr="008D40AB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334741" w:rsidRPr="00334741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комитет </w:t>
      </w:r>
      <w:r w:rsidR="00761F3C" w:rsidRPr="00334741">
        <w:rPr>
          <w:rFonts w:ascii="Times New Roman" w:hAnsi="Times New Roman" w:cs="Times New Roman"/>
          <w:sz w:val="28"/>
          <w:szCs w:val="28"/>
        </w:rPr>
        <w:t xml:space="preserve">Кемеровского городского Совета народных депутатов </w:t>
      </w:r>
      <w:r w:rsidR="00334741" w:rsidRPr="00334741">
        <w:rPr>
          <w:rFonts w:ascii="Times New Roman" w:hAnsi="Times New Roman" w:cs="Times New Roman"/>
          <w:sz w:val="28"/>
          <w:szCs w:val="28"/>
        </w:rPr>
        <w:t>по бюджету и развитию экономики (Д.И.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41" w:rsidRPr="00334741">
        <w:rPr>
          <w:rFonts w:ascii="Times New Roman" w:hAnsi="Times New Roman" w:cs="Times New Roman"/>
          <w:sz w:val="28"/>
          <w:szCs w:val="28"/>
        </w:rPr>
        <w:t>Волков).</w:t>
      </w:r>
    </w:p>
    <w:p w:rsidR="002C27E4" w:rsidRPr="0024266D" w:rsidRDefault="002C27E4" w:rsidP="00334741">
      <w:pPr>
        <w:ind w:right="-23" w:firstLine="567"/>
        <w:jc w:val="both"/>
        <w:rPr>
          <w:sz w:val="12"/>
          <w:szCs w:val="28"/>
        </w:rPr>
      </w:pPr>
    </w:p>
    <w:p w:rsidR="00334741" w:rsidRPr="00334741" w:rsidRDefault="00334741" w:rsidP="003347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74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4741" w:rsidRPr="00334741" w:rsidRDefault="00334741" w:rsidP="003347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741">
        <w:rPr>
          <w:rFonts w:ascii="Times New Roman" w:hAnsi="Times New Roman" w:cs="Times New Roman"/>
          <w:sz w:val="28"/>
          <w:szCs w:val="28"/>
        </w:rPr>
        <w:t>Кемеровского городского</w:t>
      </w:r>
    </w:p>
    <w:p w:rsidR="00334741" w:rsidRPr="00334741" w:rsidRDefault="00334741" w:rsidP="003347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741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334741">
        <w:rPr>
          <w:rFonts w:ascii="Times New Roman" w:hAnsi="Times New Roman" w:cs="Times New Roman"/>
          <w:sz w:val="28"/>
          <w:szCs w:val="28"/>
        </w:rPr>
        <w:tab/>
      </w:r>
      <w:r w:rsidRPr="00334741">
        <w:rPr>
          <w:rFonts w:ascii="Times New Roman" w:hAnsi="Times New Roman" w:cs="Times New Roman"/>
          <w:sz w:val="28"/>
          <w:szCs w:val="28"/>
        </w:rPr>
        <w:tab/>
      </w:r>
      <w:r w:rsidRPr="00334741">
        <w:rPr>
          <w:rFonts w:ascii="Times New Roman" w:hAnsi="Times New Roman" w:cs="Times New Roman"/>
          <w:sz w:val="28"/>
          <w:szCs w:val="28"/>
        </w:rPr>
        <w:tab/>
      </w:r>
      <w:r w:rsidRPr="0033474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E2121">
        <w:rPr>
          <w:rFonts w:ascii="Times New Roman" w:hAnsi="Times New Roman" w:cs="Times New Roman"/>
          <w:sz w:val="28"/>
          <w:szCs w:val="28"/>
        </w:rPr>
        <w:t xml:space="preserve">   </w:t>
      </w:r>
      <w:r w:rsidRPr="00334741">
        <w:rPr>
          <w:rFonts w:ascii="Times New Roman" w:hAnsi="Times New Roman" w:cs="Times New Roman"/>
          <w:sz w:val="28"/>
          <w:szCs w:val="28"/>
        </w:rPr>
        <w:t xml:space="preserve">   Н.Н. Сенчуров</w:t>
      </w:r>
    </w:p>
    <w:p w:rsidR="00334741" w:rsidRPr="002C27E4" w:rsidRDefault="00F34B01" w:rsidP="00F34B01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C27E4">
        <w:rPr>
          <w:rFonts w:ascii="Times New Roman" w:hAnsi="Times New Roman" w:cs="Times New Roman"/>
          <w:color w:val="FFFFFF" w:themeColor="background1"/>
          <w:sz w:val="28"/>
          <w:szCs w:val="28"/>
        </w:rPr>
        <w:t>Глава города                                                                                  И.В. Середюк</w:t>
      </w:r>
    </w:p>
    <w:p w:rsidR="00E80E1B" w:rsidRDefault="00E80E1B"/>
    <w:tbl>
      <w:tblPr>
        <w:tblW w:w="4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F06C96" w:rsidRPr="00F34B01" w:rsidTr="003463EB">
        <w:trPr>
          <w:trHeight w:val="271"/>
          <w:jc w:val="right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C96" w:rsidRPr="00BC4DFA" w:rsidRDefault="00F06C96" w:rsidP="001F0328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F06C96" w:rsidRPr="00F34B01" w:rsidTr="003463EB">
        <w:trPr>
          <w:trHeight w:val="271"/>
          <w:jc w:val="right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C96" w:rsidRPr="00BC4DFA" w:rsidRDefault="00F06C96" w:rsidP="001F0328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Кемеровского </w:t>
            </w:r>
          </w:p>
        </w:tc>
      </w:tr>
      <w:tr w:rsidR="00F06C96" w:rsidRPr="00F34B01" w:rsidTr="003463EB">
        <w:trPr>
          <w:trHeight w:val="271"/>
          <w:jc w:val="right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C96" w:rsidRPr="00BC4DFA" w:rsidRDefault="00F06C96" w:rsidP="001F0328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Совета народных </w:t>
            </w:r>
          </w:p>
        </w:tc>
      </w:tr>
      <w:tr w:rsidR="00F06C96" w:rsidRPr="00F34B01" w:rsidTr="003463EB">
        <w:trPr>
          <w:trHeight w:val="271"/>
          <w:jc w:val="right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C96" w:rsidRPr="00BC4DFA" w:rsidRDefault="00F06C96" w:rsidP="001F0328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шестого созыва </w:t>
            </w:r>
          </w:p>
        </w:tc>
      </w:tr>
      <w:tr w:rsidR="00F06C96" w:rsidRPr="00F34B01" w:rsidTr="003463EB">
        <w:trPr>
          <w:trHeight w:val="271"/>
          <w:jc w:val="right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C96" w:rsidRPr="00BC4DFA" w:rsidRDefault="00F06C96" w:rsidP="000C74B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F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25.09.2020</w:t>
            </w:r>
            <w:r w:rsidRPr="00BC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F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F06C96" w:rsidRPr="00F34B01" w:rsidTr="003463EB">
        <w:trPr>
          <w:trHeight w:val="271"/>
          <w:jc w:val="right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C96" w:rsidRPr="00BC4DFA" w:rsidRDefault="00F06C96" w:rsidP="001F0328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F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шестьдесят седьмое</w:t>
            </w:r>
            <w:r w:rsidRPr="00BC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заседание)</w:t>
            </w:r>
          </w:p>
        </w:tc>
      </w:tr>
    </w:tbl>
    <w:p w:rsidR="00334741" w:rsidRPr="00F34B01" w:rsidRDefault="00334741" w:rsidP="009035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3533" w:rsidRPr="00BC4DFA" w:rsidRDefault="00903533" w:rsidP="009035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03533" w:rsidRPr="00BC4DFA" w:rsidRDefault="00903533" w:rsidP="009035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муниципальных услуг, </w:t>
      </w:r>
      <w:bookmarkStart w:id="2" w:name="_GoBack"/>
      <w:bookmarkEnd w:id="2"/>
    </w:p>
    <w:p w:rsidR="00903533" w:rsidRPr="00BC4DFA" w:rsidRDefault="00903533" w:rsidP="009035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администрацией города Кемерово</w:t>
      </w:r>
    </w:p>
    <w:p w:rsidR="00903533" w:rsidRPr="00BC4DFA" w:rsidRDefault="00903533" w:rsidP="00903533">
      <w:pPr>
        <w:ind w:left="-567" w:firstLine="567"/>
      </w:pP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Получение согласия собственника либо иного указанного в частях </w:t>
      </w:r>
      <w:r w:rsidR="00AF7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5,6,7 статьи 19 Федерального закона от 13.03.2006 №38 – ФЗ «О рекламе» законного владельца соответствующего недвижимого имущества </w:t>
      </w:r>
      <w:r w:rsidR="00A65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присоединение к этому имуществу рекламной конструкции, если заявитель </w:t>
      </w:r>
      <w:r w:rsidR="00A65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или иным законным владельцем недвижимого имущества.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договора на установку и эксплуатацию рекламной конструкции с собственником земельного участка, здания или иного недвижимого имущества, </w:t>
      </w:r>
      <w:r w:rsidR="004B7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которому присоединяется рекламная конструкция, либо с лицом, </w:t>
      </w:r>
      <w:proofErr w:type="spellStart"/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управомоченным</w:t>
      </w:r>
      <w:proofErr w:type="spellEnd"/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такого имущества, в том числе с арендатором.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и оформление в установленном порядке проекта переустройства и (или) перепланировки переводимого помещения (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переустройство </w:t>
      </w:r>
      <w:r w:rsidR="004B7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перепланировка требуются для обеспечения использования переводимого помещения в качестве жилого или нежилого помещения).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Оформление протокола общего собрания собственников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содержащего решение об их согласии на перевод жилого помещения в нежилое помещение.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Оформление согласия каждого собственника всех помещений, примыкающих к переводимому помещению, на перевод жилого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нежилое помещение.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Оформление правоустанавливающих документов на земельный участок,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соглашения об установлении сервитута, решения об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57.3 Градостроительного кодекса Российской Федерации.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результатов инженерных изысканий и материалов, содержащихся в утвержденной в соответствии с частью 15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48 Градостроительного кодекса Российской Федерации проектной документации, если указанные документы отсутствуют в Едином государственном реестре недвижимости или едином государственном реестре заключений.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Получение заключения экспертизы проектной документации,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которой осуществляются строительство, реконструкция объекта 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отдельным этапам строительства в случае, предусмотренном частью 12.1 статьи 48 Градостроительного кодекса Российской Федерации), если указанный документ отсутствует в Едином государственном реестре недвижимости или едином государственном реестре заключений.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Получение заключения государственной экспертизы проектной документации в случаях, предусмотренных частью 3.4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49 Градостроительного кодекса Российской Федерации, если указанный документ отсутствует в Едином государственном реестре недвижимости или едином государственном реестре заключений.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Получение заключения государственной экологической экспертизы проектной документации в случаях, предусмотренных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49 Градостроительного кодекса Российской Федерации, если указанный документ отсутствует в Едином государственном реестре недвижимости или едином государственном реестре заключений.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Заключение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указанный орган осуществляет соответственно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полномочия учредителя или права собственника имущества,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реконструкции объекта капитального строительства, определяющего в том числе условия и порядок возмещения ущерба, причиненного указанному объекту при осуществлении реконструкции.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Оформление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в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документ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Оформление документов, подтверждающих соответствие построенного, реконструированного объекта капитального строительства техническим условиям и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подписанных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организаций, осуществляющих эксплуатацию сетей инженерно-технического обеспечения (при их наличии), в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документы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Оформление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планировочную организацию земельного участка и подписанной лицом, осуществляющим строительство (лицом, осуществляющим строительство,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 строительства, реконструкции линейного объекта,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документ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Оформление технического плана объекта капитального строительства, подготовленного в соответствии с Федеральным законом от 13.07.2015 №218-ФЗ «О государственной регистрации недвижимости».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Оформление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законом от 25.06.2002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Оформление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Заключение договора на разработку проектной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объекта культурного наследия.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Оформление схемы (графического плана), изображающей места проведения натурных исследований в виде шурфов и зондажей.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Заключение договора на проведение авторского надзора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назначении ответственного лица за проведение авторского надзора.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Заключение договора на проведение технического надзора и (или)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 назначении ответственного лица за проведение технического надзора.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Издание приказа о назначении ответственного лица за проведение научного руководства.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Заключение договора подряда на выполнение работ по сохранению объекта культурного наследия.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Получение заключения акта государственной историко-культурной экспертизы проектной документации по сохранению объекта культурного наследия.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Получение копии протокола или выписки из протокола соревнования, отражающей выполнение норм и/или требований, а также условий их выполнения для присвоения спортивного разряда, подписанной председателем судейской коллеги соревнования.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Получение копии справки о составе и квалификации судейской коллегии, подписанной председателем судейской коллегии и лицом, уполномоченным организацией, проводящей соревнования.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Нотариальное свидетельствование верности копий документов и выписок из документов, выданных органами государственной власти, органами местного самоуправления, юридическими лицами, гражданами.</w:t>
      </w:r>
    </w:p>
    <w:p w:rsidR="00466223" w:rsidRPr="0024266D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Оформление документа, удостоверяющего права (полномочия) представителя физического или юридического лица, если за предоставлением муниципальной услуги обращается представитель заявителя (заявителей).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многоквартирном доме.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  если заявителем является уполномоченный </w:t>
      </w:r>
      <w:proofErr w:type="spellStart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предусмотренных пунктом 2 статьи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 Жилищного кодекса Российской Федерации документов наниматель переустраиваемого и (или) </w:t>
      </w:r>
      <w:proofErr w:type="spellStart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найма).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Подготовка и оформление в установленном порядке протокола общего собрания собственников помещений в многоквартирном доме о согласии всех собственников помещений в многоквартирном жилом доме на переустройство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Оформление описания внешнего облика объекта индивидуального жилищного строительства или садового дома (включая текст и графическое описание) в случае, если строительство или реконструкция объекта индивидуального жилищного строительства или садового дома планируется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7" w:history="1">
        <w:r w:rsidRPr="00466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5 статьи </w:t>
        </w:r>
        <w:r w:rsidRPr="00466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51.1</w:t>
        </w:r>
      </w:hyperlink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Заверение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застройщиком является иностранное юридического лицо. 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Оформление технического плана объекта индивидуального жилищного строительства или садового дома.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Заключение соглашения между правообладателями земельного участка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дом, в случае если земельный участок, на котором построен или реконструирован объект индивидуального жилищного строительства или садовый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Утверждение отчетной документации о выполнении работ по сохранению объекта культурного наследия согласно приложению № 1 к приказу Министерства культуры Российской Федерации от 25.06.2015 № 1840 «Об утверждении состава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Порядка утверждения отчетной документации о выполнении работ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сохранению объекта культурного наследия, включенного в единый государственный реестр объектов культурного наследия (памятников истории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сохранению объекта культурного наследия, включенного в единый государственный реестр объектов культурного наследия (памятников истории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культуры) народов Российской Федерации, или выявленного объекта культурного наследия и его формы».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2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в полном объеме на проведение работ по сохранению объекта культурного наследия, а в случаях выдачи разрешения на отдельный этап проведения работ – в объеме, необходимом для осуществления соответствующего этапа проведения работ.</w:t>
      </w:r>
    </w:p>
    <w:p w:rsidR="00466223" w:rsidRPr="00466223" w:rsidRDefault="00466223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Получение разрешения на проведение работ по сохранению объекта культурного наследия и (или) на проведение работ по сохранению объекта культурного наследия на отдельный этап проведения работ.</w:t>
      </w:r>
    </w:p>
    <w:p w:rsidR="00466223" w:rsidRPr="00466223" w:rsidRDefault="00466223" w:rsidP="00466223">
      <w:pPr>
        <w:tabs>
          <w:tab w:val="left" w:pos="168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Разработка рабочей документации на основании согласованной проектной документации на проведение работ по сохранению объекта культурного наследия (за исключением случаев приемки работ по сохранению монументальной живописи на объекте культурного наследия).</w:t>
      </w:r>
    </w:p>
    <w:p w:rsidR="00466223" w:rsidRPr="00466223" w:rsidRDefault="00466223" w:rsidP="00466223">
      <w:pPr>
        <w:tabs>
          <w:tab w:val="left" w:pos="168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Подготовка исполнительной документации в соответствии с приказом </w:t>
      </w:r>
      <w:proofErr w:type="spellStart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26.12.2006 №1128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обеспечения».</w:t>
      </w:r>
    </w:p>
    <w:p w:rsidR="00466223" w:rsidRPr="00466223" w:rsidRDefault="00466223" w:rsidP="00466223">
      <w:pPr>
        <w:tabs>
          <w:tab w:val="left" w:pos="168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Оформление актов на скрытые работы (при их наличии) в соответствии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приказом </w:t>
      </w:r>
      <w:proofErr w:type="spellStart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26.12.2006 №1128 «Об утверждении и введении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обеспечения».</w:t>
      </w:r>
    </w:p>
    <w:p w:rsidR="00466223" w:rsidRPr="00466223" w:rsidRDefault="00466223" w:rsidP="00466223">
      <w:pPr>
        <w:tabs>
          <w:tab w:val="left" w:pos="168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Заполнение общего журнала работ в соответствии с приказом </w:t>
      </w:r>
      <w:proofErr w:type="spellStart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12.01.2007 №7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</w:t>
      </w:r>
    </w:p>
    <w:p w:rsidR="00466223" w:rsidRPr="00466223" w:rsidRDefault="00466223" w:rsidP="00466223">
      <w:pPr>
        <w:tabs>
          <w:tab w:val="left" w:pos="168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Ведение журнала авторского надзора при проведении работ на объекте культурного наследия (памятнике истории и культуры) народов Российской Федерации с отметкой о завершении работ по сохранению объекта культурного наследия и их соответствии требованиям, установленным статьей 45 Федерального </w:t>
      </w:r>
      <w:r w:rsidRPr="00466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25.06.2002 №73-ФЗ «Об объектах культурного наследия (памятниках истории и культуры) народов Российской Федерации».</w:t>
      </w:r>
    </w:p>
    <w:p w:rsidR="0054666A" w:rsidRPr="00466223" w:rsidRDefault="0054666A" w:rsidP="004662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666A" w:rsidRPr="00466223" w:rsidSect="003D176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E2"/>
    <w:rsid w:val="0000509E"/>
    <w:rsid w:val="00031C29"/>
    <w:rsid w:val="0006734D"/>
    <w:rsid w:val="000A5B8E"/>
    <w:rsid w:val="000C1E6F"/>
    <w:rsid w:val="000C74BE"/>
    <w:rsid w:val="000E11E6"/>
    <w:rsid w:val="00106A3A"/>
    <w:rsid w:val="00115EA6"/>
    <w:rsid w:val="00124B5D"/>
    <w:rsid w:val="00126A88"/>
    <w:rsid w:val="00127244"/>
    <w:rsid w:val="00161D3A"/>
    <w:rsid w:val="0017217A"/>
    <w:rsid w:val="001A6420"/>
    <w:rsid w:val="001A6FAF"/>
    <w:rsid w:val="001C7573"/>
    <w:rsid w:val="001D7584"/>
    <w:rsid w:val="001F0328"/>
    <w:rsid w:val="001F6653"/>
    <w:rsid w:val="00220A40"/>
    <w:rsid w:val="00232582"/>
    <w:rsid w:val="0024266D"/>
    <w:rsid w:val="0026752D"/>
    <w:rsid w:val="00280BD6"/>
    <w:rsid w:val="002B4CCD"/>
    <w:rsid w:val="002C27E4"/>
    <w:rsid w:val="00334741"/>
    <w:rsid w:val="003463EB"/>
    <w:rsid w:val="00371827"/>
    <w:rsid w:val="00375B14"/>
    <w:rsid w:val="00380000"/>
    <w:rsid w:val="003D1763"/>
    <w:rsid w:val="003E3F5D"/>
    <w:rsid w:val="003F5618"/>
    <w:rsid w:val="004037E3"/>
    <w:rsid w:val="00466223"/>
    <w:rsid w:val="00497B39"/>
    <w:rsid w:val="004B791E"/>
    <w:rsid w:val="00523A06"/>
    <w:rsid w:val="0054666A"/>
    <w:rsid w:val="00573865"/>
    <w:rsid w:val="00582711"/>
    <w:rsid w:val="005B4298"/>
    <w:rsid w:val="005C1034"/>
    <w:rsid w:val="006150F2"/>
    <w:rsid w:val="006153DE"/>
    <w:rsid w:val="0061688E"/>
    <w:rsid w:val="00617971"/>
    <w:rsid w:val="00640CCE"/>
    <w:rsid w:val="0069245E"/>
    <w:rsid w:val="00693267"/>
    <w:rsid w:val="006C38CC"/>
    <w:rsid w:val="006D1E2A"/>
    <w:rsid w:val="006E324F"/>
    <w:rsid w:val="006F7D55"/>
    <w:rsid w:val="0071694F"/>
    <w:rsid w:val="00743987"/>
    <w:rsid w:val="00755484"/>
    <w:rsid w:val="00761F3C"/>
    <w:rsid w:val="00772F40"/>
    <w:rsid w:val="007824A4"/>
    <w:rsid w:val="007A405D"/>
    <w:rsid w:val="007A61E3"/>
    <w:rsid w:val="007C59F8"/>
    <w:rsid w:val="007F6E00"/>
    <w:rsid w:val="00826431"/>
    <w:rsid w:val="00833EC7"/>
    <w:rsid w:val="00845366"/>
    <w:rsid w:val="00875E59"/>
    <w:rsid w:val="008A3587"/>
    <w:rsid w:val="008D40AB"/>
    <w:rsid w:val="00903533"/>
    <w:rsid w:val="009072C7"/>
    <w:rsid w:val="00924365"/>
    <w:rsid w:val="009438C1"/>
    <w:rsid w:val="00945B8A"/>
    <w:rsid w:val="00952087"/>
    <w:rsid w:val="00953814"/>
    <w:rsid w:val="00961F79"/>
    <w:rsid w:val="009754E2"/>
    <w:rsid w:val="009A0832"/>
    <w:rsid w:val="009A45C9"/>
    <w:rsid w:val="009B2A11"/>
    <w:rsid w:val="009E4ADF"/>
    <w:rsid w:val="009F7A8A"/>
    <w:rsid w:val="00A24C08"/>
    <w:rsid w:val="00A32F4F"/>
    <w:rsid w:val="00A46EEC"/>
    <w:rsid w:val="00A55514"/>
    <w:rsid w:val="00A63EDD"/>
    <w:rsid w:val="00A65610"/>
    <w:rsid w:val="00A71A02"/>
    <w:rsid w:val="00A756A2"/>
    <w:rsid w:val="00A86516"/>
    <w:rsid w:val="00AF7D3D"/>
    <w:rsid w:val="00B354AB"/>
    <w:rsid w:val="00B51B99"/>
    <w:rsid w:val="00B9556F"/>
    <w:rsid w:val="00BC1B60"/>
    <w:rsid w:val="00BC4DFA"/>
    <w:rsid w:val="00BE0B11"/>
    <w:rsid w:val="00BE72AB"/>
    <w:rsid w:val="00C05BF4"/>
    <w:rsid w:val="00C21605"/>
    <w:rsid w:val="00C722FD"/>
    <w:rsid w:val="00CA753B"/>
    <w:rsid w:val="00CC6114"/>
    <w:rsid w:val="00CF162A"/>
    <w:rsid w:val="00D325C0"/>
    <w:rsid w:val="00D34185"/>
    <w:rsid w:val="00D43BD6"/>
    <w:rsid w:val="00D477B6"/>
    <w:rsid w:val="00D55F62"/>
    <w:rsid w:val="00D94444"/>
    <w:rsid w:val="00DC29AD"/>
    <w:rsid w:val="00DD17CF"/>
    <w:rsid w:val="00DE159E"/>
    <w:rsid w:val="00DE2121"/>
    <w:rsid w:val="00DF35B2"/>
    <w:rsid w:val="00E1008B"/>
    <w:rsid w:val="00E21588"/>
    <w:rsid w:val="00E57E8B"/>
    <w:rsid w:val="00E7502E"/>
    <w:rsid w:val="00E80E1B"/>
    <w:rsid w:val="00E90B67"/>
    <w:rsid w:val="00EB772E"/>
    <w:rsid w:val="00ED7730"/>
    <w:rsid w:val="00F06C96"/>
    <w:rsid w:val="00F34B01"/>
    <w:rsid w:val="00F434B8"/>
    <w:rsid w:val="00FB1282"/>
    <w:rsid w:val="00FB12C8"/>
    <w:rsid w:val="00FD5FD5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23AA-E89A-4FDC-BB35-042A92F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C0"/>
  </w:style>
  <w:style w:type="paragraph" w:styleId="1">
    <w:name w:val="heading 1"/>
    <w:basedOn w:val="a"/>
    <w:next w:val="a"/>
    <w:link w:val="10"/>
    <w:qFormat/>
    <w:rsid w:val="00334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47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47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347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7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74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3474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474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474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334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4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347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4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651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45C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5C9"/>
    <w:rPr>
      <w:rFonts w:ascii="Calibri" w:hAnsi="Calibri"/>
      <w:sz w:val="18"/>
      <w:szCs w:val="18"/>
    </w:rPr>
  </w:style>
  <w:style w:type="character" w:customStyle="1" w:styleId="21">
    <w:name w:val="Основной текст (2)_"/>
    <w:basedOn w:val="a0"/>
    <w:link w:val="22"/>
    <w:rsid w:val="00FB12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FB12C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FB12C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12C8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FB12C8"/>
    <w:pPr>
      <w:widowControl w:val="0"/>
      <w:shd w:val="clear" w:color="auto" w:fill="FFFFFF"/>
      <w:spacing w:after="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FB12C8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DE82FE5ACE38FBDF0FAE5075649F0F1CD44DCB4615AAE2FF6ACFC55D0FFE710F0CB6438D5569DC887AC9E46EDE4969A388EC797B36y2a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8646-CE26-444F-B5BA-876A6C9E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7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Deputy3</cp:lastModifiedBy>
  <cp:revision>64</cp:revision>
  <cp:lastPrinted>2020-09-04T07:46:00Z</cp:lastPrinted>
  <dcterms:created xsi:type="dcterms:W3CDTF">2020-05-22T10:10:00Z</dcterms:created>
  <dcterms:modified xsi:type="dcterms:W3CDTF">2020-09-25T04:24:00Z</dcterms:modified>
</cp:coreProperties>
</file>